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14" w:rsidRPr="00EA5914" w:rsidRDefault="00EA5914" w:rsidP="00EA5914">
      <w:pPr>
        <w:spacing w:before="120" w:after="120" w:line="240" w:lineRule="auto"/>
        <w:outlineLvl w:val="1"/>
        <w:rPr>
          <w:rFonts w:ascii="Arial" w:eastAsia="Times New Roman" w:hAnsi="Arial" w:cs="Arial"/>
          <w:b/>
          <w:bCs/>
          <w:color w:val="B8451D"/>
          <w:sz w:val="31"/>
          <w:szCs w:val="31"/>
          <w:lang w:eastAsia="tr-TR"/>
        </w:rPr>
      </w:pPr>
      <w:r w:rsidRPr="00EA5914">
        <w:rPr>
          <w:rFonts w:ascii="Arial" w:eastAsia="Times New Roman" w:hAnsi="Arial" w:cs="Arial"/>
          <w:b/>
          <w:bCs/>
          <w:color w:val="B8451D"/>
          <w:sz w:val="31"/>
          <w:szCs w:val="31"/>
          <w:lang w:eastAsia="tr-TR"/>
        </w:rPr>
        <w:t>Kimyasal Reaksiyonda Kütlenin Korunumu</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b/>
          <w:bCs/>
          <w:color w:val="FF0000"/>
          <w:sz w:val="29"/>
          <w:szCs w:val="29"/>
          <w:lang w:eastAsia="tr-TR"/>
        </w:rPr>
        <w:t>KULLANILAN ARAÇ VE GEREÇLER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Cam balon</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Lastik tıpa</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Eşit kollu terazi</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Tartım takımı</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Su</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Kalsiyum sandoz tableti</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b/>
          <w:bCs/>
          <w:color w:val="FF0000"/>
          <w:sz w:val="29"/>
          <w:szCs w:val="29"/>
          <w:lang w:eastAsia="tr-TR"/>
        </w:rPr>
        <w:t>DENEYİN YAPILIŞI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Cam balon içine 50 ml su koyunuz. Lastik tıpayı, içinde su bulunan cam balonu ve kalsiyum sandoz tabletini birlikte tartınız.</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Sandoz tabletini cam balon içine atıp hemen lastik tıpa ile kapatınız. Gaz kabarcıklarının çıkışını gözleyiniz. Gaz kabarcıklarının çıkışı durunca lastik tıpayı açmadan cam balonu tekrar tartınız. Tartım sonucunu önceki ile karşılaştırınız</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Kalsiyum sandoz tabletinin suda çözünmesi kimyasal bir reaksiyondur.</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color w:val="000000"/>
          <w:sz w:val="29"/>
          <w:szCs w:val="29"/>
          <w:lang w:eastAsia="tr-TR"/>
        </w:rPr>
        <w:t> </w:t>
      </w:r>
    </w:p>
    <w:p w:rsidR="00EA5914" w:rsidRPr="00EA5914" w:rsidRDefault="00EA5914" w:rsidP="00EA5914">
      <w:pPr>
        <w:spacing w:before="45" w:after="45" w:line="240" w:lineRule="auto"/>
        <w:rPr>
          <w:rFonts w:ascii="Arial" w:eastAsia="Times New Roman" w:hAnsi="Arial" w:cs="Arial"/>
          <w:color w:val="000000"/>
          <w:sz w:val="29"/>
          <w:szCs w:val="29"/>
          <w:lang w:eastAsia="tr-TR"/>
        </w:rPr>
      </w:pPr>
      <w:r w:rsidRPr="00EA5914">
        <w:rPr>
          <w:rFonts w:ascii="Arial" w:eastAsia="Times New Roman" w:hAnsi="Arial" w:cs="Arial"/>
          <w:b/>
          <w:bCs/>
          <w:color w:val="000000"/>
          <w:sz w:val="29"/>
          <w:szCs w:val="29"/>
          <w:lang w:eastAsia="tr-TR"/>
        </w:rPr>
        <w:t>Kimyasal reaksiyonlarda kütle korunur. Reaksiyona giren maddelerin kütlesi toplamı, reaksiyon sonucunda oluşan maddelerin kütleleri toplamına eşittir. Buna kütlenin korunumu kanunu denir.</w:t>
      </w:r>
    </w:p>
    <w:p w:rsidR="00155DA4" w:rsidRDefault="00155DA4">
      <w:bookmarkStart w:id="0" w:name="_GoBack"/>
      <w:bookmarkEnd w:id="0"/>
    </w:p>
    <w:sectPr w:rsidR="0015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88"/>
    <w:rsid w:val="00084C88"/>
    <w:rsid w:val="00155DA4"/>
    <w:rsid w:val="00EA5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F545-B7D5-4FB9-BF5D-185BE62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A59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591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A5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2023-05-02T09:14:00Z</dcterms:created>
  <dcterms:modified xsi:type="dcterms:W3CDTF">2023-05-02T09:14:00Z</dcterms:modified>
</cp:coreProperties>
</file>